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6045" w:rsidRDefault="005D588F">
      <w:pPr>
        <w:pStyle w:val="a3"/>
      </w:pPr>
      <w:bookmarkStart w:id="0" w:name="_j13cd3djurpg" w:colFirst="0" w:colLast="0"/>
      <w:bookmarkEnd w:id="0"/>
      <w:r>
        <w:t>國立臺灣海洋大學運作化學品管理辦法</w:t>
      </w:r>
    </w:p>
    <w:p w14:paraId="00000002"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91</w:t>
      </w:r>
      <w:r>
        <w:rPr>
          <w:rFonts w:ascii="標楷體" w:eastAsia="標楷體" w:hAnsi="標楷體" w:cs="標楷體"/>
          <w:sz w:val="20"/>
          <w:szCs w:val="20"/>
        </w:rPr>
        <w:t>年</w:t>
      </w:r>
      <w:r>
        <w:rPr>
          <w:rFonts w:ascii="標楷體" w:eastAsia="標楷體" w:hAnsi="標楷體" w:cs="標楷體"/>
          <w:sz w:val="20"/>
          <w:szCs w:val="20"/>
        </w:rPr>
        <w:t>4</w:t>
      </w:r>
      <w:r>
        <w:rPr>
          <w:rFonts w:ascii="標楷體" w:eastAsia="標楷體" w:hAnsi="標楷體" w:cs="標楷體"/>
          <w:sz w:val="20"/>
          <w:szCs w:val="20"/>
        </w:rPr>
        <w:t>月</w:t>
      </w:r>
      <w:r>
        <w:rPr>
          <w:rFonts w:ascii="標楷體" w:eastAsia="標楷體" w:hAnsi="標楷體" w:cs="標楷體"/>
          <w:sz w:val="20"/>
          <w:szCs w:val="20"/>
        </w:rPr>
        <w:t>11</w:t>
      </w:r>
      <w:r>
        <w:rPr>
          <w:rFonts w:ascii="標楷體" w:eastAsia="標楷體" w:hAnsi="標楷體" w:cs="標楷體"/>
          <w:sz w:val="20"/>
          <w:szCs w:val="20"/>
        </w:rPr>
        <w:t>日環境保護與安全衛生委員會通過實施</w:t>
      </w:r>
    </w:p>
    <w:p w14:paraId="00000003"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97</w:t>
      </w:r>
      <w:r>
        <w:rPr>
          <w:rFonts w:ascii="標楷體" w:eastAsia="標楷體" w:hAnsi="標楷體" w:cs="標楷體"/>
          <w:sz w:val="20"/>
          <w:szCs w:val="20"/>
        </w:rPr>
        <w:t>年</w:t>
      </w:r>
      <w:r>
        <w:rPr>
          <w:rFonts w:ascii="標楷體" w:eastAsia="標楷體" w:hAnsi="標楷體" w:cs="標楷體"/>
          <w:sz w:val="20"/>
          <w:szCs w:val="20"/>
        </w:rPr>
        <w:t>10</w:t>
      </w:r>
      <w:r>
        <w:rPr>
          <w:rFonts w:ascii="標楷體" w:eastAsia="標楷體" w:hAnsi="標楷體" w:cs="標楷體"/>
          <w:sz w:val="20"/>
          <w:szCs w:val="20"/>
        </w:rPr>
        <w:t>月</w:t>
      </w:r>
      <w:r>
        <w:rPr>
          <w:rFonts w:ascii="標楷體" w:eastAsia="標楷體" w:hAnsi="標楷體" w:cs="標楷體"/>
          <w:sz w:val="20"/>
          <w:szCs w:val="20"/>
        </w:rPr>
        <w:t>28</w:t>
      </w:r>
      <w:r>
        <w:rPr>
          <w:rFonts w:ascii="標楷體" w:eastAsia="標楷體" w:hAnsi="標楷體" w:cs="標楷體"/>
          <w:sz w:val="20"/>
          <w:szCs w:val="20"/>
        </w:rPr>
        <w:t>日環境保護與安全衛生委員會通過</w:t>
      </w:r>
    </w:p>
    <w:p w14:paraId="00000004"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97</w:t>
      </w:r>
      <w:r>
        <w:rPr>
          <w:rFonts w:ascii="標楷體" w:eastAsia="標楷體" w:hAnsi="標楷體" w:cs="標楷體"/>
          <w:sz w:val="20"/>
          <w:szCs w:val="20"/>
        </w:rPr>
        <w:t>年</w:t>
      </w:r>
      <w:r>
        <w:rPr>
          <w:rFonts w:ascii="標楷體" w:eastAsia="標楷體" w:hAnsi="標楷體" w:cs="標楷體"/>
          <w:sz w:val="20"/>
          <w:szCs w:val="20"/>
        </w:rPr>
        <w:t>12</w:t>
      </w:r>
      <w:r>
        <w:rPr>
          <w:rFonts w:ascii="標楷體" w:eastAsia="標楷體" w:hAnsi="標楷體" w:cs="標楷體"/>
          <w:sz w:val="20"/>
          <w:szCs w:val="20"/>
        </w:rPr>
        <w:t>月</w:t>
      </w:r>
      <w:r>
        <w:rPr>
          <w:rFonts w:ascii="標楷體" w:eastAsia="標楷體" w:hAnsi="標楷體" w:cs="標楷體"/>
          <w:sz w:val="20"/>
          <w:szCs w:val="20"/>
        </w:rPr>
        <w:t>22</w:t>
      </w:r>
      <w:r>
        <w:rPr>
          <w:rFonts w:ascii="標楷體" w:eastAsia="標楷體" w:hAnsi="標楷體" w:cs="標楷體"/>
          <w:sz w:val="20"/>
          <w:szCs w:val="20"/>
        </w:rPr>
        <w:t>日海總環字第</w:t>
      </w:r>
      <w:r>
        <w:rPr>
          <w:rFonts w:ascii="標楷體" w:eastAsia="標楷體" w:hAnsi="標楷體" w:cs="標楷體"/>
          <w:sz w:val="20"/>
          <w:szCs w:val="20"/>
        </w:rPr>
        <w:t>0970014429</w:t>
      </w:r>
      <w:r>
        <w:rPr>
          <w:rFonts w:ascii="標楷體" w:eastAsia="標楷體" w:hAnsi="標楷體" w:cs="標楷體"/>
          <w:sz w:val="20"/>
          <w:szCs w:val="20"/>
        </w:rPr>
        <w:t>號令發布</w:t>
      </w:r>
    </w:p>
    <w:p w14:paraId="00000005"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99</w:t>
      </w:r>
      <w:r>
        <w:rPr>
          <w:rFonts w:ascii="標楷體" w:eastAsia="標楷體" w:hAnsi="標楷體" w:cs="標楷體"/>
          <w:sz w:val="20"/>
          <w:szCs w:val="20"/>
        </w:rPr>
        <w:t>年</w:t>
      </w:r>
      <w:r>
        <w:rPr>
          <w:rFonts w:ascii="標楷體" w:eastAsia="標楷體" w:hAnsi="標楷體" w:cs="標楷體"/>
          <w:sz w:val="20"/>
          <w:szCs w:val="20"/>
        </w:rPr>
        <w:t>4</w:t>
      </w:r>
      <w:r>
        <w:rPr>
          <w:rFonts w:ascii="標楷體" w:eastAsia="標楷體" w:hAnsi="標楷體" w:cs="標楷體"/>
          <w:sz w:val="20"/>
          <w:szCs w:val="20"/>
        </w:rPr>
        <w:t>月</w:t>
      </w:r>
      <w:r>
        <w:rPr>
          <w:rFonts w:ascii="標楷體" w:eastAsia="標楷體" w:hAnsi="標楷體" w:cs="標楷體"/>
          <w:sz w:val="20"/>
          <w:szCs w:val="20"/>
        </w:rPr>
        <w:t>22</w:t>
      </w:r>
      <w:r>
        <w:rPr>
          <w:rFonts w:ascii="標楷體" w:eastAsia="標楷體" w:hAnsi="標楷體" w:cs="標楷體"/>
          <w:sz w:val="20"/>
          <w:szCs w:val="20"/>
        </w:rPr>
        <w:t>日環境保護與安全衛生委員會修訂通過</w:t>
      </w:r>
    </w:p>
    <w:p w14:paraId="00000006"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104</w:t>
      </w:r>
      <w:r>
        <w:rPr>
          <w:rFonts w:ascii="標楷體" w:eastAsia="標楷體" w:hAnsi="標楷體" w:cs="標楷體"/>
          <w:sz w:val="20"/>
          <w:szCs w:val="20"/>
        </w:rPr>
        <w:t>年</w:t>
      </w:r>
      <w:r>
        <w:rPr>
          <w:rFonts w:ascii="標楷體" w:eastAsia="標楷體" w:hAnsi="標楷體" w:cs="標楷體"/>
          <w:sz w:val="20"/>
          <w:szCs w:val="20"/>
        </w:rPr>
        <w:t>12</w:t>
      </w:r>
      <w:r>
        <w:rPr>
          <w:rFonts w:ascii="標楷體" w:eastAsia="標楷體" w:hAnsi="標楷體" w:cs="標楷體"/>
          <w:sz w:val="20"/>
          <w:szCs w:val="20"/>
        </w:rPr>
        <w:t>月</w:t>
      </w:r>
      <w:r>
        <w:rPr>
          <w:rFonts w:ascii="標楷體" w:eastAsia="標楷體" w:hAnsi="標楷體" w:cs="標楷體"/>
          <w:sz w:val="20"/>
          <w:szCs w:val="20"/>
        </w:rPr>
        <w:t>17</w:t>
      </w:r>
      <w:r>
        <w:rPr>
          <w:rFonts w:ascii="標楷體" w:eastAsia="標楷體" w:hAnsi="標楷體" w:cs="標楷體"/>
          <w:sz w:val="20"/>
          <w:szCs w:val="20"/>
        </w:rPr>
        <w:t>日環境保護與安全衛生委員會修訂通過</w:t>
      </w:r>
    </w:p>
    <w:p w14:paraId="00000007"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104</w:t>
      </w:r>
      <w:r>
        <w:rPr>
          <w:rFonts w:ascii="標楷體" w:eastAsia="標楷體" w:hAnsi="標楷體" w:cs="標楷體"/>
          <w:sz w:val="20"/>
          <w:szCs w:val="20"/>
        </w:rPr>
        <w:t>年</w:t>
      </w:r>
      <w:r>
        <w:rPr>
          <w:rFonts w:ascii="標楷體" w:eastAsia="標楷體" w:hAnsi="標楷體" w:cs="標楷體"/>
          <w:sz w:val="20"/>
          <w:szCs w:val="20"/>
        </w:rPr>
        <w:t>12</w:t>
      </w:r>
      <w:r>
        <w:rPr>
          <w:rFonts w:ascii="標楷體" w:eastAsia="標楷體" w:hAnsi="標楷體" w:cs="標楷體"/>
          <w:sz w:val="20"/>
          <w:szCs w:val="20"/>
        </w:rPr>
        <w:t>月</w:t>
      </w:r>
      <w:r>
        <w:rPr>
          <w:rFonts w:ascii="標楷體" w:eastAsia="標楷體" w:hAnsi="標楷體" w:cs="標楷體"/>
          <w:sz w:val="20"/>
          <w:szCs w:val="20"/>
        </w:rPr>
        <w:t>31</w:t>
      </w:r>
      <w:r>
        <w:rPr>
          <w:rFonts w:ascii="標楷體" w:eastAsia="標楷體" w:hAnsi="標楷體" w:cs="標楷體"/>
          <w:sz w:val="20"/>
          <w:szCs w:val="20"/>
        </w:rPr>
        <w:t>日海總環字第</w:t>
      </w:r>
      <w:r>
        <w:rPr>
          <w:rFonts w:ascii="標楷體" w:eastAsia="標楷體" w:hAnsi="標楷體" w:cs="標楷體"/>
          <w:sz w:val="20"/>
          <w:szCs w:val="20"/>
        </w:rPr>
        <w:t>1040025359</w:t>
      </w:r>
      <w:r>
        <w:rPr>
          <w:rFonts w:ascii="標楷體" w:eastAsia="標楷體" w:hAnsi="標楷體" w:cs="標楷體"/>
          <w:sz w:val="20"/>
          <w:szCs w:val="20"/>
        </w:rPr>
        <w:t>號令發布</w:t>
      </w:r>
    </w:p>
    <w:p w14:paraId="00000008"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107</w:t>
      </w:r>
      <w:r>
        <w:rPr>
          <w:rFonts w:ascii="標楷體" w:eastAsia="標楷體" w:hAnsi="標楷體" w:cs="標楷體"/>
          <w:sz w:val="20"/>
          <w:szCs w:val="20"/>
        </w:rPr>
        <w:t>年</w:t>
      </w:r>
      <w:r>
        <w:rPr>
          <w:rFonts w:ascii="標楷體" w:eastAsia="標楷體" w:hAnsi="標楷體" w:cs="標楷體"/>
          <w:sz w:val="20"/>
          <w:szCs w:val="20"/>
        </w:rPr>
        <w:t>6</w:t>
      </w:r>
      <w:r>
        <w:rPr>
          <w:rFonts w:ascii="標楷體" w:eastAsia="標楷體" w:hAnsi="標楷體" w:cs="標楷體"/>
          <w:sz w:val="20"/>
          <w:szCs w:val="20"/>
        </w:rPr>
        <w:t>月</w:t>
      </w:r>
      <w:r>
        <w:rPr>
          <w:rFonts w:ascii="標楷體" w:eastAsia="標楷體" w:hAnsi="標楷體" w:cs="標楷體"/>
          <w:sz w:val="20"/>
          <w:szCs w:val="20"/>
        </w:rPr>
        <w:t>27</w:t>
      </w:r>
      <w:r>
        <w:rPr>
          <w:rFonts w:ascii="標楷體" w:eastAsia="標楷體" w:hAnsi="標楷體" w:cs="標楷體"/>
          <w:sz w:val="20"/>
          <w:szCs w:val="20"/>
        </w:rPr>
        <w:t>日職業安全衛生委員會修訂通過</w:t>
      </w:r>
    </w:p>
    <w:p w14:paraId="00000009"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107</w:t>
      </w:r>
      <w:r>
        <w:rPr>
          <w:rFonts w:ascii="標楷體" w:eastAsia="標楷體" w:hAnsi="標楷體" w:cs="標楷體"/>
          <w:sz w:val="20"/>
          <w:szCs w:val="20"/>
        </w:rPr>
        <w:t>年</w:t>
      </w:r>
      <w:r>
        <w:rPr>
          <w:rFonts w:ascii="標楷體" w:eastAsia="標楷體" w:hAnsi="標楷體" w:cs="標楷體"/>
          <w:sz w:val="20"/>
          <w:szCs w:val="20"/>
        </w:rPr>
        <w:t>7</w:t>
      </w:r>
      <w:r>
        <w:rPr>
          <w:rFonts w:ascii="標楷體" w:eastAsia="標楷體" w:hAnsi="標楷體" w:cs="標楷體"/>
          <w:sz w:val="20"/>
          <w:szCs w:val="20"/>
        </w:rPr>
        <w:t>月</w:t>
      </w:r>
      <w:r>
        <w:rPr>
          <w:rFonts w:ascii="標楷體" w:eastAsia="標楷體" w:hAnsi="標楷體" w:cs="標楷體"/>
          <w:sz w:val="20"/>
          <w:szCs w:val="20"/>
        </w:rPr>
        <w:t>26</w:t>
      </w:r>
      <w:r>
        <w:rPr>
          <w:rFonts w:ascii="標楷體" w:eastAsia="標楷體" w:hAnsi="標楷體" w:cs="標楷體"/>
          <w:sz w:val="20"/>
          <w:szCs w:val="20"/>
        </w:rPr>
        <w:t>日海職安字第</w:t>
      </w:r>
      <w:r>
        <w:rPr>
          <w:rFonts w:ascii="標楷體" w:eastAsia="標楷體" w:hAnsi="標楷體" w:cs="標楷體"/>
          <w:sz w:val="20"/>
          <w:szCs w:val="20"/>
        </w:rPr>
        <w:t>070014675</w:t>
      </w:r>
      <w:r>
        <w:rPr>
          <w:rFonts w:ascii="標楷體" w:eastAsia="標楷體" w:hAnsi="標楷體" w:cs="標楷體"/>
          <w:sz w:val="20"/>
          <w:szCs w:val="20"/>
        </w:rPr>
        <w:t>號令發布</w:t>
      </w:r>
    </w:p>
    <w:p w14:paraId="0000000A"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109</w:t>
      </w:r>
      <w:r>
        <w:rPr>
          <w:rFonts w:ascii="標楷體" w:eastAsia="標楷體" w:hAnsi="標楷體" w:cs="標楷體"/>
          <w:sz w:val="20"/>
          <w:szCs w:val="20"/>
        </w:rPr>
        <w:t>年</w:t>
      </w:r>
      <w:r>
        <w:rPr>
          <w:rFonts w:ascii="標楷體" w:eastAsia="標楷體" w:hAnsi="標楷體" w:cs="標楷體"/>
          <w:sz w:val="20"/>
          <w:szCs w:val="20"/>
        </w:rPr>
        <w:t>9</w:t>
      </w:r>
      <w:r>
        <w:rPr>
          <w:rFonts w:ascii="標楷體" w:eastAsia="標楷體" w:hAnsi="標楷體" w:cs="標楷體"/>
          <w:sz w:val="20"/>
          <w:szCs w:val="20"/>
        </w:rPr>
        <w:t>月</w:t>
      </w:r>
      <w:r>
        <w:rPr>
          <w:rFonts w:ascii="標楷體" w:eastAsia="標楷體" w:hAnsi="標楷體" w:cs="標楷體"/>
          <w:sz w:val="20"/>
          <w:szCs w:val="20"/>
        </w:rPr>
        <w:t>30</w:t>
      </w:r>
      <w:r>
        <w:rPr>
          <w:rFonts w:ascii="標楷體" w:eastAsia="標楷體" w:hAnsi="標楷體" w:cs="標楷體"/>
          <w:sz w:val="20"/>
          <w:szCs w:val="20"/>
        </w:rPr>
        <w:t>日職業安全衛生委員會修訂通過</w:t>
      </w:r>
    </w:p>
    <w:p w14:paraId="0000000B"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109</w:t>
      </w:r>
      <w:r>
        <w:rPr>
          <w:rFonts w:ascii="標楷體" w:eastAsia="標楷體" w:hAnsi="標楷體" w:cs="標楷體"/>
          <w:sz w:val="20"/>
          <w:szCs w:val="20"/>
        </w:rPr>
        <w:t>年</w:t>
      </w:r>
      <w:r>
        <w:rPr>
          <w:rFonts w:ascii="標楷體" w:eastAsia="標楷體" w:hAnsi="標楷體" w:cs="標楷體"/>
          <w:sz w:val="20"/>
          <w:szCs w:val="20"/>
        </w:rPr>
        <w:t>10</w:t>
      </w:r>
      <w:r>
        <w:rPr>
          <w:rFonts w:ascii="標楷體" w:eastAsia="標楷體" w:hAnsi="標楷體" w:cs="標楷體"/>
          <w:sz w:val="20"/>
          <w:szCs w:val="20"/>
        </w:rPr>
        <w:t>月</w:t>
      </w:r>
      <w:r>
        <w:rPr>
          <w:rFonts w:ascii="標楷體" w:eastAsia="標楷體" w:hAnsi="標楷體" w:cs="標楷體"/>
          <w:sz w:val="20"/>
          <w:szCs w:val="20"/>
        </w:rPr>
        <w:t>29</w:t>
      </w:r>
      <w:r>
        <w:rPr>
          <w:rFonts w:ascii="標楷體" w:eastAsia="標楷體" w:hAnsi="標楷體" w:cs="標楷體"/>
          <w:sz w:val="20"/>
          <w:szCs w:val="20"/>
        </w:rPr>
        <w:t>日海職安字第</w:t>
      </w:r>
      <w:r>
        <w:rPr>
          <w:rFonts w:ascii="標楷體" w:eastAsia="標楷體" w:hAnsi="標楷體" w:cs="標楷體"/>
          <w:sz w:val="20"/>
          <w:szCs w:val="20"/>
        </w:rPr>
        <w:t>1090021351</w:t>
      </w:r>
      <w:r>
        <w:rPr>
          <w:rFonts w:ascii="標楷體" w:eastAsia="標楷體" w:hAnsi="標楷體" w:cs="標楷體"/>
          <w:sz w:val="20"/>
          <w:szCs w:val="20"/>
        </w:rPr>
        <w:t>令修正發布名稱及條文</w:t>
      </w:r>
      <w:r>
        <w:rPr>
          <w:rFonts w:ascii="標楷體" w:eastAsia="標楷體" w:hAnsi="標楷體" w:cs="標楷體"/>
          <w:sz w:val="20"/>
          <w:szCs w:val="20"/>
        </w:rPr>
        <w:t>(</w:t>
      </w:r>
      <w:r>
        <w:rPr>
          <w:rFonts w:ascii="標楷體" w:eastAsia="標楷體" w:hAnsi="標楷體" w:cs="標楷體"/>
          <w:sz w:val="20"/>
          <w:szCs w:val="20"/>
        </w:rPr>
        <w:t>原名稱：國立臺灣海洋大學毒性化學物質運作管理辦法；新名稱：國立臺灣海洋大學運作化學品管理辦法</w:t>
      </w:r>
      <w:r>
        <w:rPr>
          <w:rFonts w:ascii="標楷體" w:eastAsia="標楷體" w:hAnsi="標楷體" w:cs="標楷體"/>
          <w:sz w:val="20"/>
          <w:szCs w:val="20"/>
        </w:rPr>
        <w:t>)</w:t>
      </w:r>
    </w:p>
    <w:p w14:paraId="0000000C"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110</w:t>
      </w:r>
      <w:r>
        <w:rPr>
          <w:rFonts w:ascii="標楷體" w:eastAsia="標楷體" w:hAnsi="標楷體" w:cs="標楷體"/>
          <w:sz w:val="20"/>
          <w:szCs w:val="20"/>
        </w:rPr>
        <w:t>年</w:t>
      </w:r>
      <w:r>
        <w:rPr>
          <w:rFonts w:ascii="標楷體" w:eastAsia="標楷體" w:hAnsi="標楷體" w:cs="標楷體"/>
          <w:sz w:val="20"/>
          <w:szCs w:val="20"/>
        </w:rPr>
        <w:t>6</w:t>
      </w:r>
      <w:r>
        <w:rPr>
          <w:rFonts w:ascii="標楷體" w:eastAsia="標楷體" w:hAnsi="標楷體" w:cs="標楷體"/>
          <w:sz w:val="20"/>
          <w:szCs w:val="20"/>
        </w:rPr>
        <w:t>月</w:t>
      </w:r>
      <w:r>
        <w:rPr>
          <w:rFonts w:ascii="標楷體" w:eastAsia="標楷體" w:hAnsi="標楷體" w:cs="標楷體"/>
          <w:sz w:val="20"/>
          <w:szCs w:val="20"/>
        </w:rPr>
        <w:t>22</w:t>
      </w:r>
      <w:r>
        <w:rPr>
          <w:rFonts w:ascii="標楷體" w:eastAsia="標楷體" w:hAnsi="標楷體" w:cs="標楷體"/>
          <w:sz w:val="20"/>
          <w:szCs w:val="20"/>
        </w:rPr>
        <w:t>日職業安全衛生委員會修訂通過</w:t>
      </w:r>
    </w:p>
    <w:p w14:paraId="0000000D" w14:textId="77777777" w:rsidR="00C36045" w:rsidRDefault="005D588F">
      <w:pPr>
        <w:spacing w:line="240" w:lineRule="auto"/>
        <w:ind w:left="4800"/>
        <w:jc w:val="both"/>
        <w:rPr>
          <w:rFonts w:ascii="標楷體" w:eastAsia="標楷體" w:hAnsi="標楷體" w:cs="標楷體"/>
          <w:sz w:val="20"/>
          <w:szCs w:val="20"/>
        </w:rPr>
      </w:pPr>
      <w:r>
        <w:rPr>
          <w:rFonts w:ascii="標楷體" w:eastAsia="標楷體" w:hAnsi="標楷體" w:cs="標楷體"/>
          <w:sz w:val="20"/>
          <w:szCs w:val="20"/>
        </w:rPr>
        <w:t>110</w:t>
      </w:r>
      <w:r>
        <w:rPr>
          <w:rFonts w:ascii="標楷體" w:eastAsia="標楷體" w:hAnsi="標楷體" w:cs="標楷體"/>
          <w:sz w:val="20"/>
          <w:szCs w:val="20"/>
        </w:rPr>
        <w:t>年</w:t>
      </w:r>
      <w:r>
        <w:rPr>
          <w:rFonts w:ascii="標楷體" w:eastAsia="標楷體" w:hAnsi="標楷體" w:cs="標楷體"/>
          <w:sz w:val="20"/>
          <w:szCs w:val="20"/>
        </w:rPr>
        <w:t>7</w:t>
      </w:r>
      <w:r>
        <w:rPr>
          <w:rFonts w:ascii="標楷體" w:eastAsia="標楷體" w:hAnsi="標楷體" w:cs="標楷體"/>
          <w:sz w:val="20"/>
          <w:szCs w:val="20"/>
        </w:rPr>
        <w:t>月</w:t>
      </w:r>
      <w:r>
        <w:rPr>
          <w:rFonts w:ascii="標楷體" w:eastAsia="標楷體" w:hAnsi="標楷體" w:cs="標楷體"/>
          <w:sz w:val="20"/>
          <w:szCs w:val="20"/>
        </w:rPr>
        <w:t>26</w:t>
      </w:r>
      <w:r>
        <w:rPr>
          <w:rFonts w:ascii="標楷體" w:eastAsia="標楷體" w:hAnsi="標楷體" w:cs="標楷體"/>
          <w:sz w:val="20"/>
          <w:szCs w:val="20"/>
        </w:rPr>
        <w:t>日海職衛字第</w:t>
      </w:r>
      <w:r>
        <w:rPr>
          <w:rFonts w:ascii="標楷體" w:eastAsia="標楷體" w:hAnsi="標楷體" w:cs="標楷體"/>
          <w:sz w:val="20"/>
          <w:szCs w:val="20"/>
        </w:rPr>
        <w:t>1100016728</w:t>
      </w:r>
      <w:r>
        <w:rPr>
          <w:rFonts w:ascii="標楷體" w:eastAsia="標楷體" w:hAnsi="標楷體" w:cs="標楷體"/>
          <w:sz w:val="20"/>
          <w:szCs w:val="20"/>
        </w:rPr>
        <w:t>號令修正發布</w:t>
      </w:r>
    </w:p>
    <w:p w14:paraId="0000000E" w14:textId="77777777" w:rsidR="00C36045" w:rsidRDefault="005D588F">
      <w:pP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1</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國立臺灣海洋大學</w:t>
      </w:r>
      <w:r>
        <w:rPr>
          <w:rFonts w:ascii="標楷體" w:eastAsia="標楷體" w:hAnsi="標楷體" w:cs="標楷體"/>
          <w:sz w:val="24"/>
          <w:szCs w:val="24"/>
        </w:rPr>
        <w:t>(</w:t>
      </w:r>
      <w:r>
        <w:rPr>
          <w:rFonts w:ascii="標楷體" w:eastAsia="標楷體" w:hAnsi="標楷體" w:cs="標楷體"/>
          <w:sz w:val="24"/>
          <w:szCs w:val="24"/>
        </w:rPr>
        <w:t>以下簡稱本校</w:t>
      </w:r>
      <w:r>
        <w:rPr>
          <w:rFonts w:ascii="標楷體" w:eastAsia="標楷體" w:hAnsi="標楷體" w:cs="標楷體"/>
          <w:sz w:val="24"/>
          <w:szCs w:val="24"/>
        </w:rPr>
        <w:t>)</w:t>
      </w:r>
      <w:r>
        <w:rPr>
          <w:rFonts w:ascii="標楷體" w:eastAsia="標楷體" w:hAnsi="標楷體" w:cs="標楷體"/>
          <w:sz w:val="24"/>
          <w:szCs w:val="24"/>
        </w:rPr>
        <w:t>為有效管理化學品，防止環境污染，保障工作者安全與健康，特依政府相關法令，訂定「國立臺灣海洋大學運作化學品管理辦法」</w:t>
      </w:r>
      <w:r>
        <w:rPr>
          <w:rFonts w:ascii="標楷體" w:eastAsia="標楷體" w:hAnsi="標楷體" w:cs="標楷體"/>
          <w:sz w:val="24"/>
          <w:szCs w:val="24"/>
        </w:rPr>
        <w:t>(</w:t>
      </w:r>
      <w:r>
        <w:rPr>
          <w:rFonts w:ascii="標楷體" w:eastAsia="標楷體" w:hAnsi="標楷體" w:cs="標楷體"/>
          <w:sz w:val="24"/>
          <w:szCs w:val="24"/>
        </w:rPr>
        <w:t>以下簡稱「本辦法」</w:t>
      </w:r>
      <w:r>
        <w:rPr>
          <w:rFonts w:ascii="標楷體" w:eastAsia="標楷體" w:hAnsi="標楷體" w:cs="標楷體"/>
          <w:sz w:val="24"/>
          <w:szCs w:val="24"/>
        </w:rPr>
        <w:t>)</w:t>
      </w:r>
      <w:r>
        <w:rPr>
          <w:rFonts w:ascii="標楷體" w:eastAsia="標楷體" w:hAnsi="標楷體" w:cs="標楷體"/>
          <w:sz w:val="24"/>
          <w:szCs w:val="24"/>
        </w:rPr>
        <w:t>。</w:t>
      </w:r>
    </w:p>
    <w:p w14:paraId="0000000F" w14:textId="77777777" w:rsidR="00C36045" w:rsidRDefault="005D588F">
      <w:pP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2</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本</w:t>
      </w:r>
      <w:r>
        <w:rPr>
          <w:rFonts w:ascii="標楷體" w:eastAsia="標楷體" w:hAnsi="標楷體" w:cs="標楷體"/>
          <w:sz w:val="24"/>
          <w:szCs w:val="24"/>
        </w:rPr>
        <w:t>辦法所用名詞定義如下：</w:t>
      </w:r>
    </w:p>
    <w:p w14:paraId="00000010"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一、化學品：指以下毒性化學物質、關注化學物質、危害性化學品、特定化學物質、有機溶劑、管制性化學品、優先管理化學品、特別危害健康作業、作業環境監測作業場所、先驅化學品工業原料、管制藥品、公共危險物品所定義之化學品及既有化學物質。</w:t>
      </w:r>
    </w:p>
    <w:p w14:paraId="00000011" w14:textId="740BFAAA"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二、毒性化學物質：指人為有意產製或於產製過程中無意衍生之化學物質，經</w:t>
      </w:r>
      <w:r w:rsidR="00FC408F">
        <w:rPr>
          <w:rFonts w:ascii="標楷體" w:eastAsia="標楷體" w:hAnsi="標楷體" w:cs="標楷體" w:hint="eastAsia"/>
          <w:sz w:val="24"/>
          <w:szCs w:val="24"/>
        </w:rPr>
        <w:t>環境部</w:t>
      </w:r>
      <w:r>
        <w:rPr>
          <w:rFonts w:ascii="標楷體" w:eastAsia="標楷體" w:hAnsi="標楷體" w:cs="標楷體"/>
          <w:sz w:val="24"/>
          <w:szCs w:val="24"/>
        </w:rPr>
        <w:t>認定其毒性符合「毒性及關注化學物質管理法」規定並公告者。</w:t>
      </w:r>
    </w:p>
    <w:p w14:paraId="00000012" w14:textId="44C3F8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三、關注化學物質：指毒性化學物質以外之化學物質，基於其物質特性或國內外關注之民生消費議題，經環</w:t>
      </w:r>
      <w:r w:rsidR="00FC408F">
        <w:rPr>
          <w:rFonts w:ascii="標楷體" w:eastAsia="標楷體" w:hAnsi="標楷體" w:cs="標楷體" w:hint="eastAsia"/>
          <w:sz w:val="24"/>
          <w:szCs w:val="24"/>
        </w:rPr>
        <w:t>境部</w:t>
      </w:r>
      <w:r>
        <w:rPr>
          <w:rFonts w:ascii="標楷體" w:eastAsia="標楷體" w:hAnsi="標楷體" w:cs="標楷體"/>
          <w:sz w:val="24"/>
          <w:szCs w:val="24"/>
        </w:rPr>
        <w:t>認定有污染環境或危害人體健康之</w:t>
      </w:r>
      <w:r>
        <w:rPr>
          <w:rFonts w:ascii="標楷體" w:eastAsia="標楷體" w:hAnsi="標楷體" w:cs="標楷體"/>
          <w:sz w:val="24"/>
          <w:szCs w:val="24"/>
        </w:rPr>
        <w:t>虞，符合「毒性及關注化學物質管理法」規定並公告者。</w:t>
      </w:r>
    </w:p>
    <w:p w14:paraId="00000013"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四、危害性化學品：指符合國家標準</w:t>
      </w:r>
      <w:r>
        <w:rPr>
          <w:rFonts w:ascii="標楷體" w:eastAsia="標楷體" w:hAnsi="標楷體" w:cs="標楷體"/>
          <w:sz w:val="24"/>
          <w:szCs w:val="24"/>
        </w:rPr>
        <w:t xml:space="preserve"> CNS15030 </w:t>
      </w:r>
      <w:r>
        <w:rPr>
          <w:rFonts w:ascii="標楷體" w:eastAsia="標楷體" w:hAnsi="標楷體" w:cs="標楷體"/>
          <w:sz w:val="24"/>
          <w:szCs w:val="24"/>
        </w:rPr>
        <w:t>分類，具有物理性危害或具健康危害者。</w:t>
      </w:r>
    </w:p>
    <w:p w14:paraId="00000014"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五、特定化學物質：指勞動部「特定化學物質危害預防標準」第二條規定者。</w:t>
      </w:r>
    </w:p>
    <w:p w14:paraId="00000015"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六、有機溶劑：指勞動部「有機溶劑中毒預防規則」第三條規定者。</w:t>
      </w:r>
    </w:p>
    <w:p w14:paraId="00000016"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七、管制性化學品：指勞動部「管制性化學品之指定及運作管理辧法」第二條規定者。</w:t>
      </w:r>
    </w:p>
    <w:p w14:paraId="00000017"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八、優先管理化學品：指勞動部「優先管理化學品及指定及運作管理辦法」第二條規定者。</w:t>
      </w:r>
    </w:p>
    <w:p w14:paraId="00000018"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九、特別危害健康作業：指「職業安全衛生法施行細則」第二十八條規定之作業。</w:t>
      </w:r>
    </w:p>
    <w:p w14:paraId="00000019" w14:textId="77777777" w:rsidR="00C36045" w:rsidRDefault="005D588F">
      <w:pPr>
        <w:ind w:left="1502" w:hanging="481"/>
        <w:jc w:val="both"/>
        <w:rPr>
          <w:rFonts w:ascii="標楷體" w:eastAsia="標楷體" w:hAnsi="標楷體" w:cs="標楷體"/>
          <w:sz w:val="24"/>
          <w:szCs w:val="24"/>
        </w:rPr>
      </w:pPr>
      <w:r>
        <w:rPr>
          <w:rFonts w:ascii="標楷體" w:eastAsia="標楷體" w:hAnsi="標楷體" w:cs="標楷體"/>
          <w:sz w:val="24"/>
          <w:szCs w:val="24"/>
        </w:rPr>
        <w:t>十、作業環境監測作業場所：指「職業安全衛生法施行細則」第十七條規定之作業場所。</w:t>
      </w:r>
    </w:p>
    <w:p w14:paraId="0000001A"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十一、先驅化學品工業原料：指可流供製造毒品之原料，依經濟部「先驅化學品工業原料之種類及申報檢查辦法」第三條規定者。</w:t>
      </w:r>
    </w:p>
    <w:p w14:paraId="0000001B"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十二、管制藥品：指</w:t>
      </w:r>
      <w:r>
        <w:rPr>
          <w:rFonts w:ascii="標楷體" w:eastAsia="標楷體" w:hAnsi="標楷體" w:cs="標楷體"/>
          <w:sz w:val="24"/>
          <w:szCs w:val="24"/>
        </w:rPr>
        <w:t xml:space="preserve"> </w:t>
      </w:r>
      <w:r>
        <w:rPr>
          <w:rFonts w:ascii="標楷體" w:eastAsia="標楷體" w:hAnsi="標楷體" w:cs="標楷體"/>
          <w:sz w:val="24"/>
          <w:szCs w:val="24"/>
        </w:rPr>
        <w:t>成癮性麻醉藥品</w:t>
      </w:r>
      <w:r>
        <w:rPr>
          <w:rFonts w:ascii="標楷體" w:eastAsia="標楷體" w:hAnsi="標楷體" w:cs="標楷體"/>
          <w:sz w:val="24"/>
          <w:szCs w:val="24"/>
        </w:rPr>
        <w:t xml:space="preserve"> </w:t>
      </w:r>
      <w:r>
        <w:rPr>
          <w:rFonts w:ascii="標楷體" w:eastAsia="標楷體" w:hAnsi="標楷體" w:cs="標楷體"/>
          <w:sz w:val="24"/>
          <w:szCs w:val="24"/>
        </w:rPr>
        <w:t>或</w:t>
      </w:r>
      <w:r>
        <w:rPr>
          <w:rFonts w:ascii="標楷體" w:eastAsia="標楷體" w:hAnsi="標楷體" w:cs="標楷體"/>
          <w:sz w:val="24"/>
          <w:szCs w:val="24"/>
        </w:rPr>
        <w:t xml:space="preserve"> </w:t>
      </w:r>
      <w:r>
        <w:rPr>
          <w:rFonts w:ascii="標楷體" w:eastAsia="標楷體" w:hAnsi="標楷體" w:cs="標楷體"/>
          <w:sz w:val="24"/>
          <w:szCs w:val="24"/>
        </w:rPr>
        <w:t>影響精神藥品</w:t>
      </w:r>
      <w:r>
        <w:rPr>
          <w:rFonts w:ascii="標楷體" w:eastAsia="標楷體" w:hAnsi="標楷體" w:cs="標楷體"/>
          <w:sz w:val="24"/>
          <w:szCs w:val="24"/>
        </w:rPr>
        <w:t xml:space="preserve"> </w:t>
      </w:r>
      <w:r>
        <w:rPr>
          <w:rFonts w:ascii="標楷體" w:eastAsia="標楷體" w:hAnsi="標楷體" w:cs="標楷體"/>
          <w:sz w:val="24"/>
          <w:szCs w:val="24"/>
        </w:rPr>
        <w:t>，依</w:t>
      </w:r>
      <w:r>
        <w:rPr>
          <w:rFonts w:ascii="標楷體" w:eastAsia="標楷體" w:hAnsi="標楷體" w:cs="標楷體"/>
          <w:sz w:val="24"/>
          <w:szCs w:val="24"/>
        </w:rPr>
        <w:t xml:space="preserve"> </w:t>
      </w:r>
      <w:r>
        <w:rPr>
          <w:rFonts w:ascii="標楷體" w:eastAsia="標楷體" w:hAnsi="標楷體" w:cs="標楷體"/>
          <w:sz w:val="24"/>
          <w:szCs w:val="24"/>
        </w:rPr>
        <w:t>衛福部</w:t>
      </w:r>
      <w:r>
        <w:rPr>
          <w:rFonts w:ascii="標楷體" w:eastAsia="標楷體" w:hAnsi="標楷體" w:cs="標楷體"/>
          <w:sz w:val="24"/>
          <w:szCs w:val="24"/>
        </w:rPr>
        <w:t xml:space="preserve"> </w:t>
      </w:r>
      <w:r>
        <w:rPr>
          <w:rFonts w:ascii="標楷體" w:eastAsia="標楷體" w:hAnsi="標楷體" w:cs="標楷體"/>
          <w:sz w:val="24"/>
          <w:szCs w:val="24"/>
        </w:rPr>
        <w:t>「</w:t>
      </w:r>
      <w:r>
        <w:rPr>
          <w:rFonts w:ascii="標楷體" w:eastAsia="標楷體" w:hAnsi="標楷體" w:cs="標楷體"/>
          <w:sz w:val="24"/>
          <w:szCs w:val="24"/>
        </w:rPr>
        <w:t xml:space="preserve"> </w:t>
      </w:r>
      <w:r>
        <w:rPr>
          <w:rFonts w:ascii="標楷體" w:eastAsia="標楷體" w:hAnsi="標楷體" w:cs="標楷體"/>
          <w:sz w:val="24"/>
          <w:szCs w:val="24"/>
        </w:rPr>
        <w:t>管制藥品管理條例」第三條規定者。</w:t>
      </w:r>
    </w:p>
    <w:p w14:paraId="0000001C"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lastRenderedPageBreak/>
        <w:t>十三、公共危險物品：指消防署「公共危險物品及可燃性高壓氣體製造儲存處理場所設置標準暨安全管理辦法」第二條及第三條規定者。</w:t>
      </w:r>
    </w:p>
    <w:p w14:paraId="0000001D"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十四、既有化學物質：指經中央主管機關會商各目的事業主管機關後，建置於既有化學物質清冊中之</w:t>
      </w:r>
      <w:r>
        <w:rPr>
          <w:rFonts w:ascii="標楷體" w:eastAsia="標楷體" w:hAnsi="標楷體" w:cs="標楷體"/>
          <w:sz w:val="24"/>
          <w:szCs w:val="24"/>
        </w:rPr>
        <w:t>化學物質。</w:t>
      </w:r>
    </w:p>
    <w:p w14:paraId="0000001E"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十五、運作：指對化學品進行製造、輸入、輸出、販賣、運送、使用、貯存或廢棄等行為。</w:t>
      </w:r>
    </w:p>
    <w:p w14:paraId="0000001F"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十六、運作化學品管理委員會：指監督、研議及審議本校運作化學品相關事宜，以下簡稱委員會。</w:t>
      </w:r>
    </w:p>
    <w:p w14:paraId="00000020"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十七、場所負責人：指場所之負責教師、任課教師或單位主管指定編制內人員管理化學品之相關事宜者。</w:t>
      </w:r>
    </w:p>
    <w:p w14:paraId="00000021"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十八、化學品系所管理者：指由單位指定編制內人員監督管理單位內之化學品之人員。</w:t>
      </w:r>
    </w:p>
    <w:p w14:paraId="00000022" w14:textId="77777777" w:rsidR="00C36045" w:rsidRDefault="005D588F">
      <w:pPr>
        <w:ind w:left="1740" w:hanging="720"/>
        <w:jc w:val="both"/>
        <w:rPr>
          <w:rFonts w:ascii="標楷體" w:eastAsia="標楷體" w:hAnsi="標楷體" w:cs="標楷體"/>
          <w:sz w:val="24"/>
          <w:szCs w:val="24"/>
        </w:rPr>
      </w:pPr>
      <w:r>
        <w:rPr>
          <w:rFonts w:ascii="標楷體" w:eastAsia="標楷體" w:hAnsi="標楷體" w:cs="標楷體"/>
          <w:sz w:val="24"/>
          <w:szCs w:val="24"/>
        </w:rPr>
        <w:t>十九、教育部化學品管理與申報系統：指本校運作化學品之管理與申報系統。</w:t>
      </w:r>
    </w:p>
    <w:p w14:paraId="00000023" w14:textId="77777777" w:rsidR="00C36045" w:rsidRDefault="005D588F">
      <w:pPr>
        <w:pBdr>
          <w:top w:val="nil"/>
          <w:left w:val="nil"/>
          <w:bottom w:val="nil"/>
          <w:right w:val="nil"/>
          <w:between w:val="nil"/>
        </w:pBdr>
        <w:spacing w:before="120"/>
        <w:ind w:left="1020" w:hanging="1020"/>
        <w:jc w:val="both"/>
      </w:pPr>
      <w:r>
        <w:rPr>
          <w:rFonts w:ascii="標楷體" w:eastAsia="標楷體" w:hAnsi="標楷體" w:cs="標楷體"/>
          <w:sz w:val="24"/>
          <w:szCs w:val="24"/>
        </w:rPr>
        <w:t>第</w:t>
      </w:r>
      <w:r>
        <w:rPr>
          <w:rFonts w:ascii="標楷體" w:eastAsia="標楷體" w:hAnsi="標楷體" w:cs="標楷體"/>
          <w:sz w:val="24"/>
          <w:szCs w:val="24"/>
        </w:rPr>
        <w:t>3</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化學品之運作、申報、標示、紀錄等及有害事業廢棄物之分類、收集、貯存、廢棄申報等之</w:t>
      </w:r>
      <w:r>
        <w:rPr>
          <w:rFonts w:ascii="標楷體" w:eastAsia="標楷體" w:hAnsi="標楷體" w:cs="標楷體"/>
          <w:sz w:val="24"/>
          <w:szCs w:val="24"/>
        </w:rPr>
        <w:t>相關運作事項由場所負責人負責。院、系所及中心單位對上述事項應盡管理督導之義務。本校職業安全衛生中心</w:t>
      </w:r>
      <w:r>
        <w:rPr>
          <w:rFonts w:ascii="標楷體" w:eastAsia="標楷體" w:hAnsi="標楷體" w:cs="標楷體"/>
          <w:sz w:val="24"/>
          <w:szCs w:val="24"/>
        </w:rPr>
        <w:t>(</w:t>
      </w:r>
      <w:r>
        <w:rPr>
          <w:rFonts w:ascii="標楷體" w:eastAsia="標楷體" w:hAnsi="標楷體" w:cs="標楷體"/>
          <w:sz w:val="24"/>
          <w:szCs w:val="24"/>
        </w:rPr>
        <w:t>以下簡稱職安衛中心</w:t>
      </w:r>
      <w:r>
        <w:rPr>
          <w:rFonts w:ascii="標楷體" w:eastAsia="標楷體" w:hAnsi="標楷體" w:cs="標楷體"/>
          <w:sz w:val="24"/>
          <w:szCs w:val="24"/>
        </w:rPr>
        <w:t>)</w:t>
      </w:r>
      <w:r>
        <w:rPr>
          <w:rFonts w:ascii="標楷體" w:eastAsia="標楷體" w:hAnsi="標楷體" w:cs="標楷體"/>
          <w:sz w:val="24"/>
          <w:szCs w:val="24"/>
        </w:rPr>
        <w:t>負擬訂、規劃、督導及推動之責，並指導相關部門實施。</w:t>
      </w:r>
    </w:p>
    <w:p w14:paraId="00000024"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4</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場所負責人應確實執行以下事項</w:t>
      </w:r>
    </w:p>
    <w:p w14:paraId="00000025"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一、訂定場所之工作守則及作業標準流程，並要求場所內工作者遵守。</w:t>
      </w:r>
    </w:p>
    <w:p w14:paraId="00000026"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二、執行場所內工作者化學品運作教育訓練</w:t>
      </w:r>
      <w:r>
        <w:rPr>
          <w:rFonts w:ascii="標楷體" w:eastAsia="標楷體" w:hAnsi="標楷體" w:cs="標楷體"/>
          <w:sz w:val="24"/>
          <w:szCs w:val="24"/>
        </w:rPr>
        <w:t>(</w:t>
      </w:r>
      <w:r>
        <w:rPr>
          <w:rFonts w:ascii="標楷體" w:eastAsia="標楷體" w:hAnsi="標楷體" w:cs="標楷體"/>
          <w:sz w:val="24"/>
          <w:szCs w:val="24"/>
        </w:rPr>
        <w:t>應包括危害告知</w:t>
      </w:r>
      <w:r>
        <w:rPr>
          <w:rFonts w:ascii="標楷體" w:eastAsia="標楷體" w:hAnsi="標楷體" w:cs="標楷體"/>
          <w:sz w:val="24"/>
          <w:szCs w:val="24"/>
        </w:rPr>
        <w:t>)</w:t>
      </w:r>
      <w:r>
        <w:rPr>
          <w:rFonts w:ascii="標楷體" w:eastAsia="標楷體" w:hAnsi="標楷體" w:cs="標楷體"/>
          <w:sz w:val="24"/>
          <w:szCs w:val="24"/>
        </w:rPr>
        <w:t>。</w:t>
      </w:r>
    </w:p>
    <w:p w14:paraId="00000027"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三、置備有效且足夠之個人防護具並監督工作者確實使用。</w:t>
      </w:r>
    </w:p>
    <w:p w14:paraId="00000028"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四、置備緊急應變器材及急救設備並定期檢查更新。</w:t>
      </w:r>
    </w:p>
    <w:p w14:paraId="00000029"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五、執行自動檢查</w:t>
      </w:r>
      <w:r>
        <w:rPr>
          <w:rFonts w:ascii="標楷體" w:eastAsia="標楷體" w:hAnsi="標楷體" w:cs="標楷體"/>
          <w:sz w:val="24"/>
          <w:szCs w:val="24"/>
        </w:rPr>
        <w:t>(</w:t>
      </w:r>
      <w:r>
        <w:rPr>
          <w:rFonts w:ascii="標楷體" w:eastAsia="標楷體" w:hAnsi="標楷體" w:cs="標楷體"/>
          <w:sz w:val="24"/>
          <w:szCs w:val="24"/>
        </w:rPr>
        <w:t>包括儀器、設備之定期檢查及作業前檢點</w:t>
      </w:r>
      <w:r>
        <w:rPr>
          <w:rFonts w:ascii="標楷體" w:eastAsia="標楷體" w:hAnsi="標楷體" w:cs="標楷體"/>
          <w:sz w:val="24"/>
          <w:szCs w:val="24"/>
        </w:rPr>
        <w:t>)</w:t>
      </w:r>
    </w:p>
    <w:p w14:paraId="0000002A"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六、依化學品特性設置通風及安全分類之適當儲存場所，並由專人管理，避免不當使用。</w:t>
      </w:r>
    </w:p>
    <w:p w14:paraId="0000002B"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七、運作之化學品應進行危害辨識、評估風險等級並採取分級管理措施及留有紀錄備查。</w:t>
      </w:r>
    </w:p>
    <w:p w14:paraId="0000002C"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八、製作危害性化學品清單</w:t>
      </w:r>
      <w:r>
        <w:rPr>
          <w:rFonts w:ascii="標楷體" w:eastAsia="標楷體" w:hAnsi="標楷體" w:cs="標楷體"/>
          <w:sz w:val="24"/>
          <w:szCs w:val="24"/>
        </w:rPr>
        <w:t>(</w:t>
      </w:r>
      <w:r>
        <w:rPr>
          <w:rFonts w:ascii="標楷體" w:eastAsia="標楷體" w:hAnsi="標楷體" w:cs="標楷體"/>
          <w:sz w:val="24"/>
          <w:szCs w:val="24"/>
        </w:rPr>
        <w:t>記載化學品名稱、製造商或供應商基本資料、使用及貯存量等項目之清冊或表單</w:t>
      </w:r>
      <w:r>
        <w:rPr>
          <w:rFonts w:ascii="標楷體" w:eastAsia="標楷體" w:hAnsi="標楷體" w:cs="標楷體"/>
          <w:sz w:val="24"/>
          <w:szCs w:val="24"/>
        </w:rPr>
        <w:t>)</w:t>
      </w:r>
      <w:r>
        <w:rPr>
          <w:rFonts w:ascii="標楷體" w:eastAsia="標楷體" w:hAnsi="標楷體" w:cs="標楷體"/>
          <w:sz w:val="24"/>
          <w:szCs w:val="24"/>
        </w:rPr>
        <w:t>。</w:t>
      </w:r>
    </w:p>
    <w:p w14:paraId="0000002D"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九、備妥化學品安全資料表</w:t>
      </w:r>
      <w:r>
        <w:rPr>
          <w:rFonts w:ascii="標楷體" w:eastAsia="標楷體" w:hAnsi="標楷體" w:cs="標楷體"/>
          <w:sz w:val="24"/>
          <w:szCs w:val="24"/>
        </w:rPr>
        <w:t>(</w:t>
      </w:r>
      <w:r>
        <w:rPr>
          <w:rFonts w:ascii="標楷體" w:eastAsia="標楷體" w:hAnsi="標楷體" w:cs="標楷體"/>
          <w:sz w:val="24"/>
          <w:szCs w:val="24"/>
        </w:rPr>
        <w:t>適時更新且為三年內之版本</w:t>
      </w:r>
      <w:r>
        <w:rPr>
          <w:rFonts w:ascii="標楷體" w:eastAsia="標楷體" w:hAnsi="標楷體" w:cs="標楷體"/>
          <w:sz w:val="24"/>
          <w:szCs w:val="24"/>
        </w:rPr>
        <w:t>)</w:t>
      </w:r>
      <w:r>
        <w:rPr>
          <w:rFonts w:ascii="標楷體" w:eastAsia="標楷體" w:hAnsi="標楷體" w:cs="標楷體"/>
          <w:sz w:val="24"/>
          <w:szCs w:val="24"/>
        </w:rPr>
        <w:t>並列冊，置於工作場所易取得之處。</w:t>
      </w:r>
    </w:p>
    <w:p w14:paraId="0000002E"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十、確認化學品之標示符合法規。</w:t>
      </w:r>
    </w:p>
    <w:p w14:paraId="0000002F" w14:textId="77777777" w:rsidR="00C36045" w:rsidRDefault="005D588F">
      <w:pPr>
        <w:pBdr>
          <w:top w:val="nil"/>
          <w:left w:val="nil"/>
          <w:bottom w:val="nil"/>
          <w:right w:val="nil"/>
          <w:between w:val="nil"/>
        </w:pBdr>
        <w:ind w:left="1740" w:hanging="720"/>
        <w:jc w:val="both"/>
        <w:rPr>
          <w:rFonts w:ascii="標楷體" w:eastAsia="標楷體" w:hAnsi="標楷體" w:cs="標楷體"/>
          <w:sz w:val="24"/>
          <w:szCs w:val="24"/>
        </w:rPr>
      </w:pPr>
      <w:r>
        <w:rPr>
          <w:rFonts w:ascii="標楷體" w:eastAsia="標楷體" w:hAnsi="標楷體" w:cs="標楷體"/>
          <w:sz w:val="24"/>
          <w:szCs w:val="24"/>
        </w:rPr>
        <w:t>十一、場所化學品應登錄於教育部「化學品管理與申報系統」，並定期更新運作資料</w:t>
      </w:r>
      <w:r>
        <w:rPr>
          <w:rFonts w:ascii="標楷體" w:eastAsia="標楷體" w:hAnsi="標楷體" w:cs="標楷體"/>
          <w:sz w:val="24"/>
          <w:szCs w:val="24"/>
        </w:rPr>
        <w:t>，確認系統量及現存量一致。</w:t>
      </w:r>
    </w:p>
    <w:p w14:paraId="00000030" w14:textId="77777777" w:rsidR="00C36045" w:rsidRDefault="005D588F">
      <w:pPr>
        <w:pBdr>
          <w:top w:val="nil"/>
          <w:left w:val="nil"/>
          <w:bottom w:val="nil"/>
          <w:right w:val="nil"/>
          <w:between w:val="nil"/>
        </w:pBdr>
        <w:ind w:left="1740" w:hanging="720"/>
        <w:jc w:val="both"/>
        <w:rPr>
          <w:rFonts w:ascii="標楷體" w:eastAsia="標楷體" w:hAnsi="標楷體" w:cs="標楷體"/>
          <w:sz w:val="24"/>
          <w:szCs w:val="24"/>
        </w:rPr>
      </w:pPr>
      <w:r>
        <w:rPr>
          <w:rFonts w:ascii="標楷體" w:eastAsia="標楷體" w:hAnsi="標楷體" w:cs="標楷體"/>
          <w:sz w:val="24"/>
          <w:szCs w:val="24"/>
        </w:rPr>
        <w:t>十二、依相關法規及申報期限提供運作紀錄、資料及保存紀錄備查。</w:t>
      </w:r>
    </w:p>
    <w:p w14:paraId="00000031" w14:textId="77777777" w:rsidR="00C36045" w:rsidRDefault="005D588F">
      <w:pPr>
        <w:pBdr>
          <w:top w:val="nil"/>
          <w:left w:val="nil"/>
          <w:bottom w:val="nil"/>
          <w:right w:val="nil"/>
          <w:between w:val="nil"/>
        </w:pBdr>
        <w:ind w:left="1740" w:hanging="720"/>
        <w:jc w:val="both"/>
        <w:rPr>
          <w:rFonts w:ascii="標楷體" w:eastAsia="標楷體" w:hAnsi="標楷體" w:cs="標楷體"/>
          <w:sz w:val="24"/>
          <w:szCs w:val="24"/>
        </w:rPr>
      </w:pPr>
      <w:r>
        <w:rPr>
          <w:rFonts w:ascii="標楷體" w:eastAsia="標楷體" w:hAnsi="標楷體" w:cs="標楷體"/>
          <w:sz w:val="24"/>
          <w:szCs w:val="24"/>
        </w:rPr>
        <w:t>十三、特別危害健康作業場所，應實施工作者特殊健康檢查。</w:t>
      </w:r>
    </w:p>
    <w:p w14:paraId="00000032" w14:textId="77777777" w:rsidR="00C36045" w:rsidRDefault="005D588F">
      <w:pPr>
        <w:pBdr>
          <w:top w:val="nil"/>
          <w:left w:val="nil"/>
          <w:bottom w:val="nil"/>
          <w:right w:val="nil"/>
          <w:between w:val="nil"/>
        </w:pBdr>
        <w:ind w:left="1740" w:hanging="720"/>
        <w:jc w:val="both"/>
        <w:rPr>
          <w:rFonts w:ascii="標楷體" w:eastAsia="標楷體" w:hAnsi="標楷體" w:cs="標楷體"/>
          <w:sz w:val="24"/>
          <w:szCs w:val="24"/>
        </w:rPr>
      </w:pPr>
      <w:r>
        <w:rPr>
          <w:rFonts w:ascii="標楷體" w:eastAsia="標楷體" w:hAnsi="標楷體" w:cs="標楷體"/>
          <w:sz w:val="24"/>
          <w:szCs w:val="24"/>
        </w:rPr>
        <w:t>十四、作業環境監測作業場所，非為臨時性作業、作業時間短暫或作業期間短暫之場所，應實施作業環境監測。</w:t>
      </w:r>
    </w:p>
    <w:p w14:paraId="00000033" w14:textId="77777777" w:rsidR="00C36045" w:rsidRDefault="005D588F">
      <w:pPr>
        <w:pBdr>
          <w:top w:val="nil"/>
          <w:left w:val="nil"/>
          <w:bottom w:val="nil"/>
          <w:right w:val="nil"/>
          <w:between w:val="nil"/>
        </w:pBdr>
        <w:ind w:left="1740" w:hanging="720"/>
        <w:jc w:val="both"/>
        <w:rPr>
          <w:rFonts w:ascii="標楷體" w:eastAsia="標楷體" w:hAnsi="標楷體" w:cs="標楷體"/>
          <w:sz w:val="24"/>
          <w:szCs w:val="24"/>
        </w:rPr>
      </w:pPr>
      <w:r>
        <w:rPr>
          <w:rFonts w:ascii="標楷體" w:eastAsia="標楷體" w:hAnsi="標楷體" w:cs="標楷體"/>
          <w:sz w:val="24"/>
          <w:szCs w:val="24"/>
        </w:rPr>
        <w:t>十五、運作後之廢棄物，應按「廢棄物清理法」規定貯存及清運。</w:t>
      </w:r>
    </w:p>
    <w:p w14:paraId="00000034" w14:textId="77777777" w:rsidR="00C36045" w:rsidRDefault="005D588F">
      <w:pPr>
        <w:pBdr>
          <w:top w:val="nil"/>
          <w:left w:val="nil"/>
          <w:bottom w:val="nil"/>
          <w:right w:val="nil"/>
          <w:between w:val="nil"/>
        </w:pBdr>
        <w:ind w:left="1740" w:hanging="720"/>
        <w:jc w:val="both"/>
        <w:rPr>
          <w:rFonts w:ascii="標楷體" w:eastAsia="標楷體" w:hAnsi="標楷體" w:cs="標楷體"/>
          <w:sz w:val="24"/>
          <w:szCs w:val="24"/>
        </w:rPr>
      </w:pPr>
      <w:r>
        <w:rPr>
          <w:rFonts w:ascii="標楷體" w:eastAsia="標楷體" w:hAnsi="標楷體" w:cs="標楷體"/>
          <w:sz w:val="24"/>
          <w:szCs w:val="24"/>
        </w:rPr>
        <w:t>十六、管制非相關人員進出。</w:t>
      </w:r>
    </w:p>
    <w:p w14:paraId="00000035"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lastRenderedPageBreak/>
        <w:t>第</w:t>
      </w:r>
      <w:r>
        <w:rPr>
          <w:rFonts w:ascii="標楷體" w:eastAsia="標楷體" w:hAnsi="標楷體" w:cs="標楷體"/>
          <w:sz w:val="24"/>
          <w:szCs w:val="24"/>
        </w:rPr>
        <w:t>5</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新申請須核可運作之化學品由申請場所備妥相關資料送委員會審議通過後，由職安衛中心函送主管機關申請審查，審查通過核發核可運作文件，方可採購運作。採購時應由場所負責人填寫申請單，由</w:t>
      </w:r>
      <w:r w:rsidRPr="00FC408F">
        <w:rPr>
          <w:rFonts w:ascii="標楷體" w:eastAsia="標楷體" w:hAnsi="標楷體" w:cs="標楷體"/>
          <w:color w:val="000000" w:themeColor="text1"/>
          <w:sz w:val="24"/>
          <w:szCs w:val="24"/>
        </w:rPr>
        <w:t>職安衛中心</w:t>
      </w:r>
      <w:r>
        <w:rPr>
          <w:rFonts w:ascii="標楷體" w:eastAsia="標楷體" w:hAnsi="標楷體" w:cs="標楷體"/>
          <w:sz w:val="24"/>
          <w:szCs w:val="24"/>
        </w:rPr>
        <w:t>審閱通過後，進行購買。</w:t>
      </w:r>
    </w:p>
    <w:p w14:paraId="00000036"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6</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毒性及關注化學物質運作單位應於運作場所各出入門標示「毒性及關注化學物質運作場所</w:t>
      </w:r>
      <w:r>
        <w:rPr>
          <w:rFonts w:ascii="標楷體" w:eastAsia="標楷體" w:hAnsi="標楷體" w:cs="標楷體"/>
          <w:sz w:val="24"/>
          <w:szCs w:val="24"/>
        </w:rPr>
        <w:t>(Handling Premises of Toxic and Concerned Chemicals)</w:t>
      </w:r>
      <w:r>
        <w:rPr>
          <w:rFonts w:ascii="標楷體" w:eastAsia="標楷體" w:hAnsi="標楷體" w:cs="標楷體"/>
          <w:sz w:val="24"/>
          <w:szCs w:val="24"/>
        </w:rPr>
        <w:t>」中英文字樣。</w:t>
      </w:r>
    </w:p>
    <w:p w14:paraId="00000037"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7</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危害性化學品運作場所應符合下列規定：</w:t>
      </w:r>
    </w:p>
    <w:p w14:paraId="00000038"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一、危害性化學品清單備置、分類及標示。</w:t>
      </w:r>
    </w:p>
    <w:p w14:paraId="00000039"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二、具健康危</w:t>
      </w:r>
      <w:r>
        <w:rPr>
          <w:rFonts w:ascii="標楷體" w:eastAsia="標楷體" w:hAnsi="標楷體" w:cs="標楷體"/>
          <w:sz w:val="24"/>
          <w:szCs w:val="24"/>
        </w:rPr>
        <w:t>害之化學品應參照中央主管機關公告之技術指引，或採取其他具同等科學基礎之評估及管理方法辦理，應依其健康危害、散布狀況及使用量等情形，評估其危害及暴露程度，劃分風險等級，並採取對應之分級管理措施，並至少每三年執行一次留有紀錄備查。</w:t>
      </w:r>
    </w:p>
    <w:p w14:paraId="0000003A"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8</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先驅化學品工業原料運作場所應符合下列規定：</w:t>
      </w:r>
    </w:p>
    <w:p w14:paraId="0000003B"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一、依「先驅化學品工業原料之種類及申報檢查辦法」進行採購及使用紀錄填報。</w:t>
      </w:r>
    </w:p>
    <w:p w14:paraId="0000003C"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二、使用紀錄及憑證應保存三年，供主管機關不定期稽核。</w:t>
      </w:r>
    </w:p>
    <w:p w14:paraId="0000003D"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9</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特定化學物質運作場所應符合下列規定：</w:t>
      </w:r>
    </w:p>
    <w:p w14:paraId="0000003E"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一、依「特定化學物質危害預防標準」進行場所管理及作業檢點。</w:t>
      </w:r>
    </w:p>
    <w:p w14:paraId="0000003F"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二、特定化學物質作業主管實際從事督導之責並定期回訓。</w:t>
      </w:r>
    </w:p>
    <w:p w14:paraId="00000040"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10</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運作場所之有害廢棄物之貯存，應符合下列規定：</w:t>
      </w:r>
    </w:p>
    <w:p w14:paraId="00000041"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一、有害廢棄物應依相容性分類貯存，不可混合。</w:t>
      </w:r>
    </w:p>
    <w:p w14:paraId="00000042"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二、廢棄物之貯存容器應黏貼標籤並填寫廢棄物種類、性質及日期，廢液貯存應有承接盤防止洩漏。</w:t>
      </w:r>
    </w:p>
    <w:p w14:paraId="00000043"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三、應遠離火源、高溫，避免日曬及雨淋。</w:t>
      </w:r>
    </w:p>
    <w:p w14:paraId="00000044"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11</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場所負責人如因退休、離職或不再運作化學品，現有之化學品應事先辦理轉讓或依法廢棄，其單位主管責成化學品系所管理者確認化學品已妥善處理及系統內已無化學品存量紀錄後，通知職安衛中心關閉系統帳號。</w:t>
      </w:r>
    </w:p>
    <w:p w14:paraId="00000045"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12</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運作毒性化學物質及經中央主管機關指定公告具有危害性之關注化學物質之運作場所如有下列情形之一者，場所負責人應立即採取緊急防治措施，並至遲於三十分鐘內，通報基隆市環保局</w:t>
      </w:r>
      <w:r>
        <w:rPr>
          <w:rFonts w:ascii="標楷體" w:eastAsia="標楷體" w:hAnsi="標楷體" w:cs="標楷體"/>
          <w:sz w:val="24"/>
          <w:szCs w:val="24"/>
        </w:rPr>
        <w:t>(</w:t>
      </w:r>
      <w:r>
        <w:rPr>
          <w:rFonts w:ascii="標楷體" w:eastAsia="標楷體" w:hAnsi="標楷體" w:cs="標楷體"/>
          <w:sz w:val="24"/>
          <w:szCs w:val="24"/>
        </w:rPr>
        <w:t>電話</w:t>
      </w:r>
      <w:r>
        <w:rPr>
          <w:rFonts w:ascii="標楷體" w:eastAsia="標楷體" w:hAnsi="標楷體" w:cs="標楷體"/>
          <w:sz w:val="24"/>
          <w:szCs w:val="24"/>
        </w:rPr>
        <w:t>02-24651115</w:t>
      </w:r>
      <w:r>
        <w:rPr>
          <w:rFonts w:ascii="標楷體" w:eastAsia="標楷體" w:hAnsi="標楷體" w:cs="標楷體"/>
          <w:sz w:val="24"/>
          <w:szCs w:val="24"/>
        </w:rPr>
        <w:t>），及立即報知所屬主管、校安中心</w:t>
      </w:r>
      <w:r>
        <w:rPr>
          <w:rFonts w:ascii="標楷體" w:eastAsia="標楷體" w:hAnsi="標楷體" w:cs="標楷體"/>
          <w:sz w:val="24"/>
          <w:szCs w:val="24"/>
        </w:rPr>
        <w:t>(24</w:t>
      </w:r>
      <w:r>
        <w:rPr>
          <w:rFonts w:ascii="標楷體" w:eastAsia="標楷體" w:hAnsi="標楷體" w:cs="標楷體"/>
          <w:sz w:val="24"/>
          <w:szCs w:val="24"/>
        </w:rPr>
        <w:t>小時專線</w:t>
      </w:r>
      <w:r>
        <w:rPr>
          <w:rFonts w:ascii="標楷體" w:eastAsia="標楷體" w:hAnsi="標楷體" w:cs="標楷體"/>
          <w:sz w:val="24"/>
          <w:szCs w:val="24"/>
        </w:rPr>
        <w:t>02-24629976)</w:t>
      </w:r>
      <w:r>
        <w:rPr>
          <w:rFonts w:ascii="標楷體" w:eastAsia="標楷體" w:hAnsi="標楷體" w:cs="標楷體"/>
          <w:sz w:val="24"/>
          <w:szCs w:val="24"/>
        </w:rPr>
        <w:t>、駐警隊</w:t>
      </w:r>
      <w:r>
        <w:rPr>
          <w:rFonts w:ascii="標楷體" w:eastAsia="標楷體" w:hAnsi="標楷體" w:cs="標楷體"/>
          <w:sz w:val="24"/>
          <w:szCs w:val="24"/>
        </w:rPr>
        <w:t xml:space="preserve">(02-24622192#1132 </w:t>
      </w:r>
      <w:r>
        <w:rPr>
          <w:rFonts w:ascii="標楷體" w:eastAsia="標楷體" w:hAnsi="標楷體" w:cs="標楷體"/>
          <w:sz w:val="24"/>
          <w:szCs w:val="24"/>
        </w:rPr>
        <w:t>值班手機</w:t>
      </w:r>
      <w:r>
        <w:rPr>
          <w:rFonts w:ascii="標楷體" w:eastAsia="標楷體" w:hAnsi="標楷體" w:cs="標楷體"/>
          <w:sz w:val="24"/>
          <w:szCs w:val="24"/>
        </w:rPr>
        <w:t>0933-198-009</w:t>
      </w:r>
      <w:r>
        <w:rPr>
          <w:rFonts w:ascii="標楷體" w:eastAsia="標楷體" w:hAnsi="標楷體" w:cs="標楷體"/>
          <w:sz w:val="24"/>
          <w:szCs w:val="24"/>
        </w:rPr>
        <w:t>、職安</w:t>
      </w:r>
      <w:r>
        <w:rPr>
          <w:rFonts w:ascii="標楷體" w:eastAsia="標楷體" w:hAnsi="標楷體" w:cs="標楷體"/>
          <w:sz w:val="24"/>
          <w:szCs w:val="24"/>
        </w:rPr>
        <w:t xml:space="preserve"> </w:t>
      </w:r>
      <w:r>
        <w:rPr>
          <w:rFonts w:ascii="標楷體" w:eastAsia="標楷體" w:hAnsi="標楷體" w:cs="標楷體"/>
          <w:sz w:val="24"/>
          <w:szCs w:val="24"/>
        </w:rPr>
        <w:t>衛中心</w:t>
      </w:r>
      <w:r>
        <w:rPr>
          <w:rFonts w:ascii="標楷體" w:eastAsia="標楷體" w:hAnsi="標楷體" w:cs="標楷體"/>
          <w:sz w:val="24"/>
          <w:szCs w:val="24"/>
        </w:rPr>
        <w:t>(02-24622192#1400~1402)</w:t>
      </w:r>
      <w:r>
        <w:rPr>
          <w:rFonts w:ascii="標楷體" w:eastAsia="標楷體" w:hAnsi="標楷體" w:cs="標楷體"/>
          <w:sz w:val="24"/>
          <w:szCs w:val="24"/>
        </w:rPr>
        <w:t>。</w:t>
      </w:r>
    </w:p>
    <w:p w14:paraId="00000046"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一、因洩漏、化學反應或其他突發事故而有污染運作場所周界外之環境之虞。</w:t>
      </w:r>
    </w:p>
    <w:p w14:paraId="00000047" w14:textId="77777777" w:rsidR="00C36045" w:rsidRDefault="005D588F">
      <w:pPr>
        <w:pBdr>
          <w:top w:val="nil"/>
          <w:left w:val="nil"/>
          <w:bottom w:val="nil"/>
          <w:right w:val="nil"/>
          <w:between w:val="nil"/>
        </w:pBdr>
        <w:ind w:left="1474" w:hanging="453"/>
        <w:jc w:val="both"/>
        <w:rPr>
          <w:rFonts w:ascii="標楷體" w:eastAsia="標楷體" w:hAnsi="標楷體" w:cs="標楷體"/>
          <w:sz w:val="24"/>
          <w:szCs w:val="24"/>
        </w:rPr>
      </w:pPr>
      <w:r>
        <w:rPr>
          <w:rFonts w:ascii="標楷體" w:eastAsia="標楷體" w:hAnsi="標楷體" w:cs="標楷體"/>
          <w:sz w:val="24"/>
          <w:szCs w:val="24"/>
        </w:rPr>
        <w:t>二、於運送過程中，發生突發事故而有污染環</w:t>
      </w:r>
      <w:r>
        <w:rPr>
          <w:rFonts w:ascii="標楷體" w:eastAsia="標楷體" w:hAnsi="標楷體" w:cs="標楷體"/>
          <w:sz w:val="24"/>
          <w:szCs w:val="24"/>
        </w:rPr>
        <w:t>境或危害人體健康之虞。</w:t>
      </w:r>
    </w:p>
    <w:p w14:paraId="00000048" w14:textId="77777777" w:rsidR="00C36045" w:rsidRDefault="005D588F">
      <w:pPr>
        <w:pBdr>
          <w:top w:val="nil"/>
          <w:left w:val="nil"/>
          <w:bottom w:val="nil"/>
          <w:right w:val="nil"/>
          <w:between w:val="nil"/>
        </w:pBdr>
        <w:ind w:left="1020"/>
        <w:jc w:val="both"/>
        <w:rPr>
          <w:rFonts w:ascii="標楷體" w:eastAsia="標楷體" w:hAnsi="標楷體" w:cs="標楷體"/>
          <w:sz w:val="24"/>
          <w:szCs w:val="24"/>
        </w:rPr>
      </w:pPr>
      <w:r>
        <w:rPr>
          <w:rFonts w:ascii="標楷體" w:eastAsia="標楷體" w:hAnsi="標楷體" w:cs="標楷體"/>
          <w:sz w:val="24"/>
          <w:szCs w:val="24"/>
        </w:rPr>
        <w:t>場所負責人除應於事故發生後，依相關規定負責清理復原外，並應自事故發生後三天內，提報初步事故調查處理速報</w:t>
      </w:r>
      <w:r>
        <w:rPr>
          <w:rFonts w:ascii="標楷體" w:eastAsia="標楷體" w:hAnsi="標楷體" w:cs="標楷體"/>
          <w:sz w:val="24"/>
          <w:szCs w:val="24"/>
        </w:rPr>
        <w:t>;</w:t>
      </w:r>
      <w:r>
        <w:rPr>
          <w:rFonts w:ascii="標楷體" w:eastAsia="標楷體" w:hAnsi="標楷體" w:cs="標楷體"/>
          <w:sz w:val="24"/>
          <w:szCs w:val="24"/>
        </w:rPr>
        <w:t>並於事故發生後十四天內提報總結事故調查處理結報，報請主管機關備查並副知行政院環境保護署及本校職安衛中心。</w:t>
      </w:r>
    </w:p>
    <w:p w14:paraId="00000049"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color w:val="FF0000"/>
          <w:sz w:val="24"/>
          <w:szCs w:val="24"/>
          <w:u w:val="single"/>
        </w:rPr>
      </w:pPr>
      <w:r>
        <w:rPr>
          <w:rFonts w:ascii="標楷體" w:eastAsia="標楷體" w:hAnsi="標楷體" w:cs="標楷體"/>
          <w:sz w:val="24"/>
          <w:szCs w:val="24"/>
        </w:rPr>
        <w:t>第</w:t>
      </w:r>
      <w:r>
        <w:rPr>
          <w:rFonts w:ascii="標楷體" w:eastAsia="標楷體" w:hAnsi="標楷體" w:cs="標楷體"/>
          <w:sz w:val="24"/>
          <w:szCs w:val="24"/>
        </w:rPr>
        <w:t>13</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各場所違反相關法規，經主管機關查證屬實而導致本校遭受之罰款，依本校「安全衛生相關罰款分擔辦法」辦理，並應負相關行政責任。</w:t>
      </w:r>
    </w:p>
    <w:p w14:paraId="0000004A"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sz w:val="24"/>
          <w:szCs w:val="24"/>
        </w:rPr>
      </w:pPr>
      <w:r>
        <w:rPr>
          <w:rFonts w:ascii="標楷體" w:eastAsia="標楷體" w:hAnsi="標楷體" w:cs="標楷體"/>
          <w:sz w:val="24"/>
          <w:szCs w:val="24"/>
        </w:rPr>
        <w:t>第</w:t>
      </w:r>
      <w:r>
        <w:rPr>
          <w:rFonts w:ascii="標楷體" w:eastAsia="標楷體" w:hAnsi="標楷體" w:cs="標楷體"/>
          <w:sz w:val="24"/>
          <w:szCs w:val="24"/>
        </w:rPr>
        <w:t>14</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本辦法未盡事宜，依相關規定辦理。</w:t>
      </w:r>
    </w:p>
    <w:p w14:paraId="0000004B" w14:textId="77777777" w:rsidR="00C36045" w:rsidRDefault="005D588F">
      <w:pPr>
        <w:pBdr>
          <w:top w:val="nil"/>
          <w:left w:val="nil"/>
          <w:bottom w:val="nil"/>
          <w:right w:val="nil"/>
          <w:between w:val="nil"/>
        </w:pBdr>
        <w:spacing w:before="120"/>
        <w:ind w:left="1020" w:hanging="1020"/>
        <w:jc w:val="both"/>
        <w:rPr>
          <w:rFonts w:ascii="標楷體" w:eastAsia="標楷體" w:hAnsi="標楷體" w:cs="標楷體"/>
        </w:rPr>
      </w:pPr>
      <w:r>
        <w:rPr>
          <w:rFonts w:ascii="標楷體" w:eastAsia="標楷體" w:hAnsi="標楷體" w:cs="標楷體"/>
          <w:sz w:val="24"/>
          <w:szCs w:val="24"/>
        </w:rPr>
        <w:t>第</w:t>
      </w:r>
      <w:r>
        <w:rPr>
          <w:rFonts w:ascii="標楷體" w:eastAsia="標楷體" w:hAnsi="標楷體" w:cs="標楷體"/>
          <w:sz w:val="24"/>
          <w:szCs w:val="24"/>
        </w:rPr>
        <w:t>15</w:t>
      </w:r>
      <w:r>
        <w:rPr>
          <w:rFonts w:ascii="標楷體" w:eastAsia="標楷體" w:hAnsi="標楷體" w:cs="標楷體"/>
          <w:sz w:val="24"/>
          <w:szCs w:val="24"/>
        </w:rPr>
        <w:t>條</w:t>
      </w:r>
      <w:r>
        <w:rPr>
          <w:rFonts w:ascii="標楷體" w:eastAsia="標楷體" w:hAnsi="標楷體" w:cs="標楷體"/>
          <w:sz w:val="24"/>
          <w:szCs w:val="24"/>
        </w:rPr>
        <w:tab/>
      </w:r>
      <w:r>
        <w:rPr>
          <w:rFonts w:ascii="標楷體" w:eastAsia="標楷體" w:hAnsi="標楷體" w:cs="標楷體"/>
          <w:sz w:val="24"/>
          <w:szCs w:val="24"/>
        </w:rPr>
        <w:t>本辦法經本校職業安全衛生委員會通過後發布實施。</w:t>
      </w:r>
    </w:p>
    <w:sectPr w:rsidR="00C36045">
      <w:headerReference w:type="default" r:id="rId6"/>
      <w:footerReference w:type="default" r:id="rId7"/>
      <w:pgSz w:w="11909" w:h="16834"/>
      <w:pgMar w:top="850" w:right="1020" w:bottom="566" w:left="1133" w:header="566" w:footer="4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B699" w14:textId="77777777" w:rsidR="005D588F" w:rsidRDefault="005D588F">
      <w:pPr>
        <w:spacing w:line="240" w:lineRule="auto"/>
      </w:pPr>
      <w:r>
        <w:separator/>
      </w:r>
    </w:p>
  </w:endnote>
  <w:endnote w:type="continuationSeparator" w:id="0">
    <w:p w14:paraId="1333488F" w14:textId="77777777" w:rsidR="005D588F" w:rsidRDefault="005D5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C36045" w:rsidRDefault="005D588F">
    <w:pPr>
      <w:jc w:val="right"/>
      <w:rPr>
        <w:rFonts w:ascii="標楷體" w:eastAsia="標楷體" w:hAnsi="標楷體" w:cs="標楷體"/>
        <w:sz w:val="20"/>
        <w:szCs w:val="20"/>
      </w:rPr>
    </w:pPr>
    <w:r>
      <w:rPr>
        <w:rFonts w:ascii="標楷體" w:eastAsia="標楷體" w:hAnsi="標楷體" w:cs="標楷體"/>
        <w:sz w:val="20"/>
        <w:szCs w:val="20"/>
      </w:rPr>
      <w:t>OI-02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049D" w14:textId="77777777" w:rsidR="005D588F" w:rsidRDefault="005D588F">
      <w:pPr>
        <w:spacing w:line="240" w:lineRule="auto"/>
      </w:pPr>
      <w:r>
        <w:separator/>
      </w:r>
    </w:p>
  </w:footnote>
  <w:footnote w:type="continuationSeparator" w:id="0">
    <w:p w14:paraId="4120AF95" w14:textId="77777777" w:rsidR="005D588F" w:rsidRDefault="005D58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C36045" w:rsidRDefault="00C360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45"/>
    <w:rsid w:val="005D588F"/>
    <w:rsid w:val="00C36045"/>
    <w:rsid w:val="00FC4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8881"/>
  <w15:docId w15:val="{68CA2573-CAFD-40BA-B4C4-42F82B19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ind w:left="1020"/>
      <w:jc w:val="both"/>
      <w:outlineLvl w:val="0"/>
    </w:pPr>
    <w:rPr>
      <w:rFonts w:ascii="標楷體" w:eastAsia="標楷體" w:hAnsi="標楷體" w:cs="標楷體"/>
      <w:b/>
      <w:sz w:val="24"/>
      <w:szCs w:val="24"/>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120" w:after="120"/>
      <w:jc w:val="center"/>
    </w:pPr>
    <w:rPr>
      <w:rFonts w:ascii="標楷體" w:eastAsia="標楷體" w:hAnsi="標楷體" w:cs="標楷體"/>
      <w:sz w:val="32"/>
      <w:szCs w:val="3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周淑芬</cp:lastModifiedBy>
  <cp:revision>2</cp:revision>
  <dcterms:created xsi:type="dcterms:W3CDTF">2024-02-23T07:10:00Z</dcterms:created>
  <dcterms:modified xsi:type="dcterms:W3CDTF">2024-02-23T07:10:00Z</dcterms:modified>
</cp:coreProperties>
</file>